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526B"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County convicted in: Lake County</w:t>
      </w:r>
      <w:r w:rsidRPr="00B90E82">
        <w:rPr>
          <w:rFonts w:ascii="Georgia" w:eastAsia="Times New Roman" w:hAnsi="Georgia" w:cs="Times New Roman"/>
          <w:color w:val="231F20"/>
          <w:sz w:val="24"/>
          <w:szCs w:val="24"/>
        </w:rPr>
        <w:br/>
        <w:t>Convicted of: Armed robbery, murder, and unlawful restraint</w:t>
      </w:r>
      <w:r w:rsidRPr="00B90E82">
        <w:rPr>
          <w:rFonts w:ascii="Georgia" w:eastAsia="Times New Roman" w:hAnsi="Georgia" w:cs="Times New Roman"/>
          <w:color w:val="231F20"/>
          <w:sz w:val="24"/>
          <w:szCs w:val="24"/>
        </w:rPr>
        <w:br/>
        <w:t>Year convicted: 2004</w:t>
      </w:r>
      <w:r w:rsidRPr="00B90E82">
        <w:rPr>
          <w:rFonts w:ascii="Georgia" w:eastAsia="Times New Roman" w:hAnsi="Georgia" w:cs="Times New Roman"/>
          <w:color w:val="231F20"/>
          <w:sz w:val="24"/>
          <w:szCs w:val="24"/>
        </w:rPr>
        <w:br/>
        <w:t>Sentence: 80 years (17 years served)</w:t>
      </w:r>
    </w:p>
    <w:p w14:paraId="7B7B8FA2"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w:t>
      </w:r>
    </w:p>
    <w:p w14:paraId="4E4245F8" w14:textId="77777777" w:rsidR="00B90E82" w:rsidRPr="00B90E82" w:rsidRDefault="00B90E82" w:rsidP="00B90E82">
      <w:pPr>
        <w:shd w:val="clear" w:color="auto" w:fill="F4F4F4"/>
        <w:spacing w:before="240" w:after="240" w:line="240" w:lineRule="auto"/>
        <w:jc w:val="center"/>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Background</w:t>
      </w:r>
    </w:p>
    <w:p w14:paraId="5F830858"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xml:space="preserve">In North Chicago on January 20, 2000, three people conducted a home invasion </w:t>
      </w:r>
      <w:proofErr w:type="gramStart"/>
      <w:r w:rsidRPr="00B90E82">
        <w:rPr>
          <w:rFonts w:ascii="Georgia" w:eastAsia="Times New Roman" w:hAnsi="Georgia" w:cs="Times New Roman"/>
          <w:color w:val="231F20"/>
          <w:sz w:val="24"/>
          <w:szCs w:val="24"/>
        </w:rPr>
        <w:t>of  Delvin</w:t>
      </w:r>
      <w:proofErr w:type="gramEnd"/>
      <w:r w:rsidRPr="00B90E82">
        <w:rPr>
          <w:rFonts w:ascii="Georgia" w:eastAsia="Times New Roman" w:hAnsi="Georgia" w:cs="Times New Roman"/>
          <w:color w:val="231F20"/>
          <w:sz w:val="24"/>
          <w:szCs w:val="24"/>
        </w:rPr>
        <w:t xml:space="preserve"> Foxworth. As they did so, they ransacked the house. All three of them took turns beating Foxworth with a 2×4, and one perpetrator bound Foxworth with duct tape and sprinkled him with gasoline before the entire room went up in flames. Foxworth knew the perpetrator that bound him with tape and sprinkled the gasoline — a person he referred to as “T.” Foxworth’s girlfriend, Delia Conners, was the sole eyewitness, but T and the other perpetrators were unknown to her. Foxworth lived for two years after the incident. </w:t>
      </w:r>
    </w:p>
    <w:p w14:paraId="40E3FC39"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xml:space="preserve">In 2004, following extremely troubling identification procedures, Marvin Williford was mistakenly identified as “T,” convicted, and sentenced to 80 years in prison. Conners had been shown a single picture of Williford just before walking into the grand jury (in 2000), shown that picture again in 2002, right after Foxworth passed away. After some hesitation, she ultimately chose Williford from a photographic lineup in 2003. At trial, </w:t>
      </w:r>
      <w:proofErr w:type="spellStart"/>
      <w:r w:rsidRPr="00B90E82">
        <w:rPr>
          <w:rFonts w:ascii="Georgia" w:eastAsia="Times New Roman" w:hAnsi="Georgia" w:cs="Times New Roman"/>
          <w:color w:val="231F20"/>
          <w:sz w:val="24"/>
          <w:szCs w:val="24"/>
        </w:rPr>
        <w:t>Willfiord</w:t>
      </w:r>
      <w:proofErr w:type="spellEnd"/>
      <w:r w:rsidRPr="00B90E82">
        <w:rPr>
          <w:rFonts w:ascii="Georgia" w:eastAsia="Times New Roman" w:hAnsi="Georgia" w:cs="Times New Roman"/>
          <w:color w:val="231F20"/>
          <w:sz w:val="24"/>
          <w:szCs w:val="24"/>
        </w:rPr>
        <w:t xml:space="preserve"> testified and maintained his innocence, and no forensic evidence connected him to the messy crime scene. Nonetheless, Williford was wrongly convicted based on the misidentification.</w:t>
      </w:r>
    </w:p>
    <w:p w14:paraId="054FF1E6"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xml:space="preserve">Williford has consistently challenged his conviction on appeal and in post-conviction proceedings.  Between 2013 and 2014, new DNA testing was conducted on the 2×4 and other items from the crime scene. None of the DNA found on the items belongs to Williford. In addition, the DNA matched another suspect—a DNA match from the rape kit of a 1992 rape and murder of a Waukegan child, Holly </w:t>
      </w:r>
      <w:proofErr w:type="spellStart"/>
      <w:r w:rsidRPr="00B90E82">
        <w:rPr>
          <w:rFonts w:ascii="Georgia" w:eastAsia="Times New Roman" w:hAnsi="Georgia" w:cs="Times New Roman"/>
          <w:color w:val="231F20"/>
          <w:sz w:val="24"/>
          <w:szCs w:val="24"/>
        </w:rPr>
        <w:t>Staker</w:t>
      </w:r>
      <w:proofErr w:type="spellEnd"/>
      <w:r w:rsidRPr="00B90E82">
        <w:rPr>
          <w:rFonts w:ascii="Georgia" w:eastAsia="Times New Roman" w:hAnsi="Georgia" w:cs="Times New Roman"/>
          <w:color w:val="231F20"/>
          <w:sz w:val="24"/>
          <w:szCs w:val="24"/>
        </w:rPr>
        <w:t>.</w:t>
      </w:r>
    </w:p>
    <w:p w14:paraId="66FFBA34"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xml:space="preserve">Williford’s legal team at the Exoneration Project filed an amended post-conviction petition and a petition for relief from judgment in 2015.  This petition asserted Williford’s claims of actual innocence </w:t>
      </w:r>
      <w:proofErr w:type="gramStart"/>
      <w:r w:rsidRPr="00B90E82">
        <w:rPr>
          <w:rFonts w:ascii="Georgia" w:eastAsia="Times New Roman" w:hAnsi="Georgia" w:cs="Times New Roman"/>
          <w:color w:val="231F20"/>
          <w:sz w:val="24"/>
          <w:szCs w:val="24"/>
        </w:rPr>
        <w:t>in light of</w:t>
      </w:r>
      <w:proofErr w:type="gramEnd"/>
      <w:r w:rsidRPr="00B90E82">
        <w:rPr>
          <w:rFonts w:ascii="Georgia" w:eastAsia="Times New Roman" w:hAnsi="Georgia" w:cs="Times New Roman"/>
          <w:color w:val="231F20"/>
          <w:sz w:val="24"/>
          <w:szCs w:val="24"/>
        </w:rPr>
        <w:t xml:space="preserve"> DNA testing but also pointed to new developments in social science confirming the unreliability of witness identifications made like those in the circumstances presented in this case. Williford also presented new evidence concerning other constitutional issues that, the petition alleges, deprived him of a fair trial. Williford’s efforts, to date, have been unsuccessful but litigation is ongoing in federal court.</w:t>
      </w:r>
    </w:p>
    <w:p w14:paraId="7B9738D3"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w:t>
      </w:r>
    </w:p>
    <w:p w14:paraId="736BF1FB" w14:textId="77777777" w:rsidR="00B90E82" w:rsidRPr="00B90E82" w:rsidRDefault="00B90E82" w:rsidP="00B90E82">
      <w:pPr>
        <w:shd w:val="clear" w:color="auto" w:fill="F4F4F4"/>
        <w:spacing w:before="240" w:after="240" w:line="240" w:lineRule="auto"/>
        <w:jc w:val="center"/>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 xml:space="preserve">Key Factors </w:t>
      </w:r>
      <w:proofErr w:type="gramStart"/>
      <w:r w:rsidRPr="00B90E82">
        <w:rPr>
          <w:rFonts w:ascii="Georgia" w:eastAsia="Times New Roman" w:hAnsi="Georgia" w:cs="Times New Roman"/>
          <w:b/>
          <w:bCs/>
          <w:color w:val="231F20"/>
          <w:sz w:val="24"/>
          <w:szCs w:val="24"/>
        </w:rPr>
        <w:t>In</w:t>
      </w:r>
      <w:proofErr w:type="gramEnd"/>
      <w:r w:rsidRPr="00B90E82">
        <w:rPr>
          <w:rFonts w:ascii="Georgia" w:eastAsia="Times New Roman" w:hAnsi="Georgia" w:cs="Times New Roman"/>
          <w:b/>
          <w:bCs/>
          <w:color w:val="231F20"/>
          <w:sz w:val="24"/>
          <w:szCs w:val="24"/>
        </w:rPr>
        <w:t xml:space="preserve"> Williford’s Wrongful Conviction</w:t>
      </w:r>
    </w:p>
    <w:p w14:paraId="0F2F29CA"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Lack of evidence implicating Williford but pointing to other suspects:</w:t>
      </w:r>
    </w:p>
    <w:p w14:paraId="1F62EAC0" w14:textId="77777777" w:rsidR="00B90E82" w:rsidRPr="00B90E82" w:rsidRDefault="00B90E82" w:rsidP="00B90E82">
      <w:pPr>
        <w:numPr>
          <w:ilvl w:val="0"/>
          <w:numId w:val="1"/>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lastRenderedPageBreak/>
        <w:t xml:space="preserve">The DNA on the duct tape, gas can, and wooden 2 x 4 used to beat Foxworth was not a match for Williford. He was also not a match for any other evidence at the crime scene, However, one of the assailants’ DNA matched DNA found at the scene of a previous crime: 11 year old Holly </w:t>
      </w:r>
      <w:proofErr w:type="spellStart"/>
      <w:r w:rsidRPr="00B90E82">
        <w:rPr>
          <w:rFonts w:ascii="Georgia" w:eastAsia="Times New Roman" w:hAnsi="Georgia" w:cs="Times New Roman"/>
          <w:color w:val="231F20"/>
          <w:sz w:val="24"/>
          <w:szCs w:val="24"/>
        </w:rPr>
        <w:t>Staker’s</w:t>
      </w:r>
      <w:proofErr w:type="spellEnd"/>
      <w:r w:rsidRPr="00B90E82">
        <w:rPr>
          <w:rFonts w:ascii="Georgia" w:eastAsia="Times New Roman" w:hAnsi="Georgia" w:cs="Times New Roman"/>
          <w:color w:val="231F20"/>
          <w:sz w:val="24"/>
          <w:szCs w:val="24"/>
        </w:rPr>
        <w:t xml:space="preserve"> rape and murder in 1992</w:t>
      </w:r>
      <w:r w:rsidRPr="00B90E82">
        <w:rPr>
          <w:rFonts w:ascii="Georgia" w:eastAsia="Times New Roman" w:hAnsi="Georgia" w:cs="Times New Roman"/>
          <w:color w:val="000000"/>
          <w:sz w:val="24"/>
          <w:szCs w:val="24"/>
        </w:rPr>
        <w:t> </w:t>
      </w:r>
      <w:hyperlink r:id="rId5" w:history="1">
        <w:r w:rsidRPr="00B90E82">
          <w:rPr>
            <w:rFonts w:ascii="inherit" w:eastAsia="Times New Roman" w:hAnsi="inherit" w:cs="Times New Roman"/>
            <w:color w:val="000000"/>
            <w:sz w:val="24"/>
            <w:szCs w:val="24"/>
            <w:u w:val="single"/>
          </w:rPr>
          <w:t>(pages 9-10).</w:t>
        </w:r>
      </w:hyperlink>
      <w:r w:rsidRPr="00B90E82">
        <w:rPr>
          <w:rFonts w:ascii="Georgia" w:eastAsia="Times New Roman" w:hAnsi="Georgia" w:cs="Times New Roman"/>
          <w:color w:val="000000"/>
          <w:sz w:val="24"/>
          <w:szCs w:val="24"/>
        </w:rPr>
        <w:t> </w:t>
      </w:r>
    </w:p>
    <w:p w14:paraId="30D47C5A" w14:textId="77777777" w:rsidR="00B90E82" w:rsidRPr="00B90E82" w:rsidRDefault="00B90E82" w:rsidP="00B90E82">
      <w:pPr>
        <w:numPr>
          <w:ilvl w:val="0"/>
          <w:numId w:val="1"/>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Fingerprint evidence taken from the scene, including from the soot related to the fire, did not belong to Williford</w:t>
      </w:r>
    </w:p>
    <w:p w14:paraId="62B34FCD"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w:t>
      </w:r>
    </w:p>
    <w:p w14:paraId="140953C7" w14:textId="77777777" w:rsidR="00B90E82" w:rsidRPr="00B90E82" w:rsidRDefault="00B90E82" w:rsidP="00B90E82">
      <w:pPr>
        <w:shd w:val="clear" w:color="auto" w:fill="F4F4F4"/>
        <w:spacing w:before="240" w:after="240" w:line="240" w:lineRule="auto"/>
        <w:jc w:val="center"/>
        <w:rPr>
          <w:rFonts w:ascii="Georgia" w:eastAsia="Times New Roman" w:hAnsi="Georgia" w:cs="Times New Roman"/>
          <w:color w:val="231F20"/>
          <w:sz w:val="24"/>
          <w:szCs w:val="24"/>
        </w:rPr>
      </w:pPr>
      <w:hyperlink r:id="rId6" w:history="1">
        <w:r w:rsidRPr="00B90E82">
          <w:rPr>
            <w:rFonts w:ascii="inherit" w:eastAsia="Times New Roman" w:hAnsi="inherit" w:cs="Times New Roman"/>
            <w:b/>
            <w:bCs/>
            <w:color w:val="000000"/>
            <w:sz w:val="24"/>
            <w:szCs w:val="24"/>
            <w:u w:val="single"/>
          </w:rPr>
          <w:t>Mistaken Witness Identification</w:t>
        </w:r>
      </w:hyperlink>
    </w:p>
    <w:p w14:paraId="44DFA6C6" w14:textId="77777777" w:rsidR="00B90E82" w:rsidRPr="00B90E82" w:rsidRDefault="00B90E82" w:rsidP="00B90E82">
      <w:pPr>
        <w:numPr>
          <w:ilvl w:val="0"/>
          <w:numId w:val="2"/>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The problem with eyewitness identification</w:t>
      </w:r>
      <w:r w:rsidRPr="00B90E82">
        <w:rPr>
          <w:rFonts w:ascii="Georgia" w:eastAsia="Times New Roman" w:hAnsi="Georgia" w:cs="Times New Roman"/>
          <w:color w:val="231F20"/>
          <w:sz w:val="24"/>
          <w:szCs w:val="24"/>
        </w:rPr>
        <w:t>: Advances “in DNA testing have confirmed that ‘eyewitness misidentification is now the single greatest source of wrongful convictions in the United States, and responsible for more wrongful convictions than all other causes combined.’” </w:t>
      </w:r>
      <w:hyperlink r:id="rId7" w:history="1">
        <w:r w:rsidRPr="00B90E82">
          <w:rPr>
            <w:rFonts w:ascii="inherit" w:eastAsia="Times New Roman" w:hAnsi="inherit" w:cs="Times New Roman"/>
            <w:i/>
            <w:iCs/>
            <w:color w:val="000000"/>
            <w:sz w:val="24"/>
            <w:szCs w:val="24"/>
            <w:u w:val="single"/>
          </w:rPr>
          <w:t>People v. Lerma</w:t>
        </w:r>
        <w:r w:rsidRPr="00B90E82">
          <w:rPr>
            <w:rFonts w:ascii="inherit" w:eastAsia="Times New Roman" w:hAnsi="inherit" w:cs="Times New Roman"/>
            <w:color w:val="000000"/>
            <w:sz w:val="24"/>
            <w:szCs w:val="24"/>
            <w:u w:val="single"/>
          </w:rPr>
          <w:t>, 2016 IL118496, ¶25 (quoting </w:t>
        </w:r>
        <w:r w:rsidRPr="00B90E82">
          <w:rPr>
            <w:rFonts w:ascii="inherit" w:eastAsia="Times New Roman" w:hAnsi="inherit" w:cs="Times New Roman"/>
            <w:i/>
            <w:iCs/>
            <w:color w:val="000000"/>
            <w:sz w:val="24"/>
            <w:szCs w:val="24"/>
            <w:u w:val="single"/>
          </w:rPr>
          <w:t>State v. Dubose</w:t>
        </w:r>
        <w:r w:rsidRPr="00B90E82">
          <w:rPr>
            <w:rFonts w:ascii="inherit" w:eastAsia="Times New Roman" w:hAnsi="inherit" w:cs="Times New Roman"/>
            <w:color w:val="000000"/>
            <w:sz w:val="24"/>
            <w:szCs w:val="24"/>
            <w:u w:val="single"/>
          </w:rPr>
          <w:t>, 699 N.W.2d 582, 591-92 (Wis. 2005).</w:t>
        </w:r>
      </w:hyperlink>
    </w:p>
    <w:p w14:paraId="530DDD95" w14:textId="77777777" w:rsidR="00B90E82" w:rsidRPr="00B90E82" w:rsidRDefault="00B90E82" w:rsidP="00B90E82">
      <w:pPr>
        <w:numPr>
          <w:ilvl w:val="0"/>
          <w:numId w:val="2"/>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The Second District Court held that Conner’s “testimony and her identification of [Williford] made up the majority of the State’s case, and ‘absent her testimony identifying defendant as one of the perpetrators, there is a reasonable probability that [Williford] would have been acquitted’” </w:t>
      </w:r>
      <w:hyperlink r:id="rId8" w:history="1">
        <w:r w:rsidRPr="00B90E82">
          <w:rPr>
            <w:rFonts w:ascii="inherit" w:eastAsia="Times New Roman" w:hAnsi="inherit" w:cs="Times New Roman"/>
            <w:color w:val="000000"/>
            <w:sz w:val="24"/>
            <w:szCs w:val="24"/>
            <w:u w:val="single"/>
          </w:rPr>
          <w:t>(page 34)</w:t>
        </w:r>
      </w:hyperlink>
      <w:r w:rsidRPr="00B90E82">
        <w:rPr>
          <w:rFonts w:ascii="Georgia" w:eastAsia="Times New Roman" w:hAnsi="Georgia" w:cs="Times New Roman"/>
          <w:color w:val="000000"/>
          <w:sz w:val="24"/>
          <w:szCs w:val="24"/>
        </w:rPr>
        <w:t>. </w:t>
      </w:r>
    </w:p>
    <w:p w14:paraId="55FA8D4C" w14:textId="77777777" w:rsidR="00B90E82" w:rsidRPr="00B90E82" w:rsidRDefault="00B90E82" w:rsidP="00B90E82">
      <w:pPr>
        <w:numPr>
          <w:ilvl w:val="0"/>
          <w:numId w:val="2"/>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Suggestiveness and contamination</w:t>
      </w:r>
      <w:r w:rsidRPr="00B90E82">
        <w:rPr>
          <w:rFonts w:ascii="Georgia" w:eastAsia="Times New Roman" w:hAnsi="Georgia" w:cs="Times New Roman"/>
          <w:color w:val="231F20"/>
          <w:sz w:val="24"/>
          <w:szCs w:val="24"/>
        </w:rPr>
        <w:t xml:space="preserve">: Conners was </w:t>
      </w:r>
      <w:proofErr w:type="gramStart"/>
      <w:r w:rsidRPr="00B90E82">
        <w:rPr>
          <w:rFonts w:ascii="Georgia" w:eastAsia="Times New Roman" w:hAnsi="Georgia" w:cs="Times New Roman"/>
          <w:color w:val="231F20"/>
          <w:sz w:val="24"/>
          <w:szCs w:val="24"/>
        </w:rPr>
        <w:t>shown  a</w:t>
      </w:r>
      <w:proofErr w:type="gramEnd"/>
      <w:r w:rsidRPr="00B90E82">
        <w:rPr>
          <w:rFonts w:ascii="Georgia" w:eastAsia="Times New Roman" w:hAnsi="Georgia" w:cs="Times New Roman"/>
          <w:color w:val="231F20"/>
          <w:sz w:val="24"/>
          <w:szCs w:val="24"/>
        </w:rPr>
        <w:t xml:space="preserve"> single photo of Williford just before her Grand Jury testimony in 2000 where she misidentified him as an assailant. Conners was reminded of her prior misidentification and shown this same picture again in 2002. Conners was then shown a photo array in 2003, where Williford was also included. He was the only suspect included in all three confrontations, and she was never asked to identify the other two assailants </w:t>
      </w:r>
      <w:hyperlink r:id="rId9" w:history="1">
        <w:r w:rsidRPr="00B90E82">
          <w:rPr>
            <w:rFonts w:ascii="inherit" w:eastAsia="Times New Roman" w:hAnsi="inherit" w:cs="Times New Roman"/>
            <w:color w:val="000000"/>
            <w:sz w:val="24"/>
            <w:szCs w:val="24"/>
            <w:u w:val="single"/>
          </w:rPr>
          <w:t>(pages 7-9). </w:t>
        </w:r>
      </w:hyperlink>
    </w:p>
    <w:p w14:paraId="080B733B" w14:textId="77777777" w:rsidR="00B90E82" w:rsidRPr="00B90E82" w:rsidRDefault="00B90E82" w:rsidP="00B90E82">
      <w:pPr>
        <w:numPr>
          <w:ilvl w:val="0"/>
          <w:numId w:val="2"/>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An unreliable, though confident, misidentification</w:t>
      </w:r>
      <w:r w:rsidRPr="00B90E82">
        <w:rPr>
          <w:rFonts w:ascii="Georgia" w:eastAsia="Times New Roman" w:hAnsi="Georgia" w:cs="Times New Roman"/>
          <w:color w:val="231F20"/>
          <w:sz w:val="24"/>
          <w:szCs w:val="24"/>
        </w:rPr>
        <w:t>. Social science now shows that the confidence a witness has in their own testimony can be strengthened “by repeat questioning or by information that the witness receives during, or after, the identification process” </w:t>
      </w:r>
      <w:hyperlink r:id="rId10" w:history="1">
        <w:r w:rsidRPr="00B90E82">
          <w:rPr>
            <w:rFonts w:ascii="inherit" w:eastAsia="Times New Roman" w:hAnsi="inherit" w:cs="Times New Roman"/>
            <w:color w:val="000000"/>
            <w:sz w:val="24"/>
            <w:szCs w:val="24"/>
            <w:u w:val="single"/>
          </w:rPr>
          <w:t>(page 22). </w:t>
        </w:r>
      </w:hyperlink>
      <w:r w:rsidRPr="00B90E82">
        <w:rPr>
          <w:rFonts w:ascii="Georgia" w:eastAsia="Times New Roman" w:hAnsi="Georgia" w:cs="Times New Roman"/>
          <w:color w:val="231F20"/>
          <w:sz w:val="24"/>
          <w:szCs w:val="24"/>
        </w:rPr>
        <w:t> In other words, showing Conner a photo of Williford multiple times before her testimony likely influenced her identification of him as an assailant. As a matter of social science, the eyewitness identification in this case was unreliable</w:t>
      </w:r>
      <w:hyperlink r:id="rId11" w:history="1">
        <w:r w:rsidRPr="00B90E82">
          <w:rPr>
            <w:rFonts w:ascii="inherit" w:eastAsia="Times New Roman" w:hAnsi="inherit" w:cs="Times New Roman"/>
            <w:color w:val="000000"/>
            <w:sz w:val="24"/>
            <w:szCs w:val="24"/>
            <w:u w:val="single"/>
          </w:rPr>
          <w:t> (pages 41-45).</w:t>
        </w:r>
      </w:hyperlink>
    </w:p>
    <w:p w14:paraId="3A505103"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w:t>
      </w:r>
    </w:p>
    <w:p w14:paraId="3640AADF"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hyperlink r:id="rId12" w:history="1">
        <w:r w:rsidRPr="00B90E82">
          <w:rPr>
            <w:rFonts w:ascii="inherit" w:eastAsia="Times New Roman" w:hAnsi="inherit" w:cs="Times New Roman"/>
            <w:b/>
            <w:bCs/>
            <w:color w:val="CB1F3F"/>
            <w:sz w:val="24"/>
            <w:szCs w:val="24"/>
            <w:u w:val="single"/>
          </w:rPr>
          <w:t>MAJOR FILINGS &amp; ORDERS DENYING RELIEF </w:t>
        </w:r>
      </w:hyperlink>
    </w:p>
    <w:p w14:paraId="69E7EB20" w14:textId="77777777" w:rsidR="00B90E82" w:rsidRPr="00B90E82" w:rsidRDefault="00B90E82" w:rsidP="00B90E82">
      <w:pPr>
        <w:numPr>
          <w:ilvl w:val="0"/>
          <w:numId w:val="3"/>
        </w:numPr>
        <w:shd w:val="clear" w:color="auto" w:fill="F4F4F4"/>
        <w:spacing w:before="168" w:after="168" w:line="240" w:lineRule="auto"/>
        <w:rPr>
          <w:rFonts w:ascii="Georgia" w:eastAsia="Times New Roman" w:hAnsi="Georgia" w:cs="Times New Roman"/>
          <w:color w:val="231F20"/>
          <w:sz w:val="24"/>
          <w:szCs w:val="24"/>
        </w:rPr>
      </w:pPr>
      <w:hyperlink r:id="rId13" w:history="1">
        <w:r w:rsidRPr="00B90E82">
          <w:rPr>
            <w:rFonts w:ascii="inherit" w:eastAsia="Times New Roman" w:hAnsi="inherit" w:cs="Times New Roman"/>
            <w:color w:val="CB1F3F"/>
            <w:sz w:val="24"/>
            <w:szCs w:val="24"/>
            <w:u w:val="single"/>
          </w:rPr>
          <w:t>Amended post-conviction petition</w:t>
        </w:r>
      </w:hyperlink>
    </w:p>
    <w:p w14:paraId="01341AB9" w14:textId="77777777" w:rsidR="00B90E82" w:rsidRPr="00B90E82" w:rsidRDefault="00B90E82" w:rsidP="00B90E82">
      <w:pPr>
        <w:numPr>
          <w:ilvl w:val="0"/>
          <w:numId w:val="3"/>
        </w:numPr>
        <w:shd w:val="clear" w:color="auto" w:fill="F4F4F4"/>
        <w:spacing w:before="168" w:after="168" w:line="240" w:lineRule="auto"/>
        <w:rPr>
          <w:rFonts w:ascii="Georgia" w:eastAsia="Times New Roman" w:hAnsi="Georgia" w:cs="Times New Roman"/>
          <w:color w:val="231F20"/>
          <w:sz w:val="24"/>
          <w:szCs w:val="24"/>
        </w:rPr>
      </w:pPr>
      <w:hyperlink r:id="rId14" w:history="1">
        <w:r w:rsidRPr="00B90E82">
          <w:rPr>
            <w:rFonts w:ascii="inherit" w:eastAsia="Times New Roman" w:hAnsi="inherit" w:cs="Times New Roman"/>
            <w:color w:val="CB1F3F"/>
            <w:sz w:val="24"/>
            <w:szCs w:val="24"/>
            <w:u w:val="single"/>
          </w:rPr>
          <w:t>Appeal opening brief</w:t>
        </w:r>
      </w:hyperlink>
    </w:p>
    <w:p w14:paraId="46F1D47E" w14:textId="77777777" w:rsidR="00B90E82" w:rsidRPr="00B90E82" w:rsidRDefault="00B90E82" w:rsidP="00B90E82">
      <w:pPr>
        <w:numPr>
          <w:ilvl w:val="0"/>
          <w:numId w:val="3"/>
        </w:numPr>
        <w:shd w:val="clear" w:color="auto" w:fill="F4F4F4"/>
        <w:spacing w:before="168" w:after="168" w:line="240" w:lineRule="auto"/>
        <w:rPr>
          <w:rFonts w:ascii="Georgia" w:eastAsia="Times New Roman" w:hAnsi="Georgia" w:cs="Times New Roman"/>
          <w:color w:val="231F20"/>
          <w:sz w:val="24"/>
          <w:szCs w:val="24"/>
        </w:rPr>
      </w:pPr>
      <w:hyperlink r:id="rId15" w:history="1">
        <w:r w:rsidRPr="00B90E82">
          <w:rPr>
            <w:rFonts w:ascii="inherit" w:eastAsia="Times New Roman" w:hAnsi="inherit" w:cs="Times New Roman"/>
            <w:color w:val="CB1F3F"/>
            <w:sz w:val="24"/>
            <w:szCs w:val="24"/>
            <w:u w:val="single"/>
          </w:rPr>
          <w:t>Orders denying relief</w:t>
        </w:r>
      </w:hyperlink>
    </w:p>
    <w:p w14:paraId="4671C2D6" w14:textId="77777777" w:rsidR="00B90E82" w:rsidRPr="00B90E82" w:rsidRDefault="00B90E82" w:rsidP="00B90E82">
      <w:pPr>
        <w:numPr>
          <w:ilvl w:val="0"/>
          <w:numId w:val="3"/>
        </w:numPr>
        <w:shd w:val="clear" w:color="auto" w:fill="F4F4F4"/>
        <w:spacing w:before="168" w:after="168"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lastRenderedPageBreak/>
        <w:t>Update: EP attorneys are currently working on a habeas corpus petition</w:t>
      </w:r>
    </w:p>
    <w:p w14:paraId="154C619D"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color w:val="231F20"/>
          <w:sz w:val="24"/>
          <w:szCs w:val="24"/>
        </w:rPr>
        <w:t> </w:t>
      </w:r>
    </w:p>
    <w:p w14:paraId="2E497DA8" w14:textId="77777777" w:rsidR="00B90E82" w:rsidRPr="00B90E82" w:rsidRDefault="00B90E82" w:rsidP="00B90E82">
      <w:pPr>
        <w:shd w:val="clear" w:color="auto" w:fill="F4F4F4"/>
        <w:spacing w:before="240" w:after="240" w:line="240" w:lineRule="auto"/>
        <w:rPr>
          <w:rFonts w:ascii="Georgia" w:eastAsia="Times New Roman" w:hAnsi="Georgia" w:cs="Times New Roman"/>
          <w:color w:val="231F20"/>
          <w:sz w:val="24"/>
          <w:szCs w:val="24"/>
        </w:rPr>
      </w:pPr>
      <w:r w:rsidRPr="00B90E82">
        <w:rPr>
          <w:rFonts w:ascii="Georgia" w:eastAsia="Times New Roman" w:hAnsi="Georgia" w:cs="Times New Roman"/>
          <w:b/>
          <w:bCs/>
          <w:color w:val="231F20"/>
          <w:sz w:val="24"/>
          <w:szCs w:val="24"/>
        </w:rPr>
        <w:t>MEDIA COVERAGE</w:t>
      </w:r>
    </w:p>
    <w:p w14:paraId="546663A8"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16" w:history="1">
        <w:r w:rsidRPr="00B90E82">
          <w:rPr>
            <w:rFonts w:ascii="inherit" w:eastAsia="Times New Roman" w:hAnsi="inherit" w:cs="Times New Roman"/>
            <w:color w:val="CB1F3F"/>
            <w:sz w:val="24"/>
            <w:szCs w:val="24"/>
            <w:u w:val="single"/>
          </w:rPr>
          <w:t>2014: Chicago Tribune, “Lawyer for convict: No evidence ties client to North Chicago murder”</w:t>
        </w:r>
      </w:hyperlink>
    </w:p>
    <w:p w14:paraId="770A04C3"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17" w:history="1">
        <w:r w:rsidRPr="00B90E82">
          <w:rPr>
            <w:rFonts w:ascii="inherit" w:eastAsia="Times New Roman" w:hAnsi="inherit" w:cs="Times New Roman"/>
            <w:color w:val="CB1F3F"/>
            <w:sz w:val="24"/>
            <w:szCs w:val="24"/>
            <w:u w:val="single"/>
          </w:rPr>
          <w:t>2015: Chicago Tribune, “Lake County won’t free man convicted in North Chicago murder”</w:t>
        </w:r>
      </w:hyperlink>
    </w:p>
    <w:p w14:paraId="566599C9"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18" w:history="1">
        <w:r w:rsidRPr="00B90E82">
          <w:rPr>
            <w:rFonts w:ascii="inherit" w:eastAsia="Times New Roman" w:hAnsi="inherit" w:cs="Times New Roman"/>
            <w:color w:val="CB1F3F"/>
            <w:sz w:val="24"/>
            <w:szCs w:val="24"/>
            <w:u w:val="single"/>
          </w:rPr>
          <w:t>2015: Chicago Tribune, “Man convicted in 2000 North Chicago murder to petition for new trial”</w:t>
        </w:r>
      </w:hyperlink>
    </w:p>
    <w:p w14:paraId="12C9920F"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19" w:history="1">
        <w:r w:rsidRPr="00B90E82">
          <w:rPr>
            <w:rFonts w:ascii="inherit" w:eastAsia="Times New Roman" w:hAnsi="inherit" w:cs="Times New Roman"/>
            <w:color w:val="CB1F3F"/>
            <w:sz w:val="24"/>
            <w:szCs w:val="24"/>
            <w:u w:val="single"/>
          </w:rPr>
          <w:t xml:space="preserve">2015: Chicago Tribune, “Rutter: Injustice in </w:t>
        </w:r>
        <w:proofErr w:type="spellStart"/>
        <w:r w:rsidRPr="00B90E82">
          <w:rPr>
            <w:rFonts w:ascii="inherit" w:eastAsia="Times New Roman" w:hAnsi="inherit" w:cs="Times New Roman"/>
            <w:color w:val="CB1F3F"/>
            <w:sz w:val="24"/>
            <w:szCs w:val="24"/>
            <w:u w:val="single"/>
          </w:rPr>
          <w:t>Staker</w:t>
        </w:r>
        <w:proofErr w:type="spellEnd"/>
        <w:r w:rsidRPr="00B90E82">
          <w:rPr>
            <w:rFonts w:ascii="inherit" w:eastAsia="Times New Roman" w:hAnsi="inherit" w:cs="Times New Roman"/>
            <w:color w:val="CB1F3F"/>
            <w:sz w:val="24"/>
            <w:szCs w:val="24"/>
            <w:u w:val="single"/>
          </w:rPr>
          <w:t>, Foxworth murders costs more every day”</w:t>
        </w:r>
      </w:hyperlink>
    </w:p>
    <w:p w14:paraId="59F4FB5A"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20" w:history="1">
        <w:r w:rsidRPr="00B90E82">
          <w:rPr>
            <w:rFonts w:ascii="inherit" w:eastAsia="Times New Roman" w:hAnsi="inherit" w:cs="Times New Roman"/>
            <w:color w:val="CB1F3F"/>
            <w:sz w:val="24"/>
            <w:szCs w:val="24"/>
            <w:u w:val="single"/>
          </w:rPr>
          <w:t xml:space="preserve">2016: Chicago Tribune, “Judge downplays Holly </w:t>
        </w:r>
        <w:proofErr w:type="spellStart"/>
        <w:r w:rsidRPr="00B90E82">
          <w:rPr>
            <w:rFonts w:ascii="inherit" w:eastAsia="Times New Roman" w:hAnsi="inherit" w:cs="Times New Roman"/>
            <w:color w:val="CB1F3F"/>
            <w:sz w:val="24"/>
            <w:szCs w:val="24"/>
            <w:u w:val="single"/>
          </w:rPr>
          <w:t>Staker</w:t>
        </w:r>
        <w:proofErr w:type="spellEnd"/>
        <w:r w:rsidRPr="00B90E82">
          <w:rPr>
            <w:rFonts w:ascii="inherit" w:eastAsia="Times New Roman" w:hAnsi="inherit" w:cs="Times New Roman"/>
            <w:color w:val="CB1F3F"/>
            <w:sz w:val="24"/>
            <w:szCs w:val="24"/>
            <w:u w:val="single"/>
          </w:rPr>
          <w:t xml:space="preserve"> link in bid for new trial in North Chicago murder”</w:t>
        </w:r>
      </w:hyperlink>
    </w:p>
    <w:p w14:paraId="265B847D" w14:textId="77777777" w:rsidR="00B90E82" w:rsidRPr="00B90E82" w:rsidRDefault="00B90E82" w:rsidP="00B90E82">
      <w:pPr>
        <w:numPr>
          <w:ilvl w:val="0"/>
          <w:numId w:val="4"/>
        </w:numPr>
        <w:shd w:val="clear" w:color="auto" w:fill="F4F4F4"/>
        <w:spacing w:before="168" w:after="168" w:line="240" w:lineRule="auto"/>
        <w:rPr>
          <w:rFonts w:ascii="Georgia" w:eastAsia="Times New Roman" w:hAnsi="Georgia" w:cs="Times New Roman"/>
          <w:color w:val="231F20"/>
          <w:sz w:val="24"/>
          <w:szCs w:val="24"/>
        </w:rPr>
      </w:pPr>
      <w:hyperlink r:id="rId21" w:history="1">
        <w:r w:rsidRPr="00B90E82">
          <w:rPr>
            <w:rFonts w:ascii="inherit" w:eastAsia="Times New Roman" w:hAnsi="inherit" w:cs="Times New Roman"/>
            <w:color w:val="CB1F3F"/>
            <w:sz w:val="24"/>
            <w:szCs w:val="24"/>
            <w:u w:val="single"/>
          </w:rPr>
          <w:t>2018: Chicago Tribune, “Appeal promised after judge denies retrial for man convicted in North Chicago burning death”</w:t>
        </w:r>
      </w:hyperlink>
    </w:p>
    <w:p w14:paraId="5A1D5543" w14:textId="77777777" w:rsidR="00443AC7" w:rsidRDefault="00443AC7"/>
    <w:sectPr w:rsidR="0044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BAE"/>
    <w:multiLevelType w:val="multilevel"/>
    <w:tmpl w:val="85A0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118E"/>
    <w:multiLevelType w:val="multilevel"/>
    <w:tmpl w:val="661E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C4170"/>
    <w:multiLevelType w:val="multilevel"/>
    <w:tmpl w:val="519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45C4B"/>
    <w:multiLevelType w:val="multilevel"/>
    <w:tmpl w:val="DB5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234915">
    <w:abstractNumId w:val="3"/>
  </w:num>
  <w:num w:numId="2" w16cid:durableId="1678193818">
    <w:abstractNumId w:val="0"/>
  </w:num>
  <w:num w:numId="3" w16cid:durableId="749541452">
    <w:abstractNumId w:val="2"/>
  </w:num>
  <w:num w:numId="4" w16cid:durableId="1481340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82"/>
    <w:rsid w:val="000B7CD8"/>
    <w:rsid w:val="00443AC7"/>
    <w:rsid w:val="00B9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7D5A"/>
  <w15:chartTrackingRefBased/>
  <w15:docId w15:val="{EC14F201-1CBA-4F55-AC2D-DA0840C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E82"/>
    <w:rPr>
      <w:b/>
      <w:bCs/>
    </w:rPr>
  </w:style>
  <w:style w:type="character" w:styleId="Hyperlink">
    <w:name w:val="Hyperlink"/>
    <w:basedOn w:val="DefaultParagraphFont"/>
    <w:uiPriority w:val="99"/>
    <w:semiHidden/>
    <w:unhideWhenUsed/>
    <w:rsid w:val="00B90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1081">
      <w:bodyDiv w:val="1"/>
      <w:marLeft w:val="0"/>
      <w:marRight w:val="0"/>
      <w:marTop w:val="0"/>
      <w:marBottom w:val="0"/>
      <w:divBdr>
        <w:top w:val="none" w:sz="0" w:space="0" w:color="auto"/>
        <w:left w:val="none" w:sz="0" w:space="0" w:color="auto"/>
        <w:bottom w:val="none" w:sz="0" w:space="0" w:color="auto"/>
        <w:right w:val="none" w:sz="0" w:space="0" w:color="auto"/>
      </w:divBdr>
      <w:divsChild>
        <w:div w:id="140000035">
          <w:blockQuote w:val="1"/>
          <w:marLeft w:val="240"/>
          <w:marRight w:val="720"/>
          <w:marTop w:val="100"/>
          <w:marBottom w:val="100"/>
          <w:divBdr>
            <w:top w:val="none" w:sz="0" w:space="0" w:color="auto"/>
            <w:left w:val="single" w:sz="48" w:space="12" w:color="CB1F3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122002743/https:/www.dropbox.com/s/62937ci8gfphp6h/Amended%20PC%20petition.pdf?dl=0" TargetMode="External"/><Relationship Id="rId13" Type="http://schemas.openxmlformats.org/officeDocument/2006/relationships/hyperlink" Target="https://web.archive.org/web/20220122002743/https:/www.dropbox.com/s/62937ci8gfphp6h/Amended%20PC%20petition.pdf?dl=0" TargetMode="External"/><Relationship Id="rId18" Type="http://schemas.openxmlformats.org/officeDocument/2006/relationships/hyperlink" Target="https://web.archive.org/web/20220122002743/https:/www.chicagotribune.com/suburbs/lake-county-news-sun/ct-lns-williford-retrial-petition-st-0603-20150602-story.html" TargetMode="External"/><Relationship Id="rId3" Type="http://schemas.openxmlformats.org/officeDocument/2006/relationships/settings" Target="settings.xml"/><Relationship Id="rId21" Type="http://schemas.openxmlformats.org/officeDocument/2006/relationships/hyperlink" Target="https://web.archive.org/web/20220122002743/https:/www.chicagotribune.com/suburbs/lake-county-news-sun/ct-lns-north-chicago-burning-death-st-0606-story.html" TargetMode="External"/><Relationship Id="rId7" Type="http://schemas.openxmlformats.org/officeDocument/2006/relationships/hyperlink" Target="https://web.archive.org/web/20220122002743/https:/law.justia.com/cases/illinois/supreme-court/2016/118496.html" TargetMode="External"/><Relationship Id="rId12" Type="http://schemas.openxmlformats.org/officeDocument/2006/relationships/hyperlink" Target="https://web.archive.org/web/20220122002743/https:/www.dropbox.com/home/Marvin%20Williford" TargetMode="External"/><Relationship Id="rId17" Type="http://schemas.openxmlformats.org/officeDocument/2006/relationships/hyperlink" Target="https://web.archive.org/web/20220122002743/https:/www.chicagotribune.com/suburbs/lake-county-news-sun/ct-marvin-williford-hearing-met-20150317-story.html" TargetMode="External"/><Relationship Id="rId2" Type="http://schemas.openxmlformats.org/officeDocument/2006/relationships/styles" Target="styles.xml"/><Relationship Id="rId16" Type="http://schemas.openxmlformats.org/officeDocument/2006/relationships/hyperlink" Target="https://web.archive.org/web/20220122002743/https:/www.chicagotribune.com/news/breaking/ct-lake-county-dna-tests-met-20141209-story.html" TargetMode="External"/><Relationship Id="rId20" Type="http://schemas.openxmlformats.org/officeDocument/2006/relationships/hyperlink" Target="https://web.archive.org/web/20220122002743/https:/www.chicagotribune.com/suburbs/lake-county-news-sun/ct-lns-williford-new-murder-trial-petition-st-0914-20160913-story.html" TargetMode="External"/><Relationship Id="rId1" Type="http://schemas.openxmlformats.org/officeDocument/2006/relationships/numbering" Target="numbering.xml"/><Relationship Id="rId6" Type="http://schemas.openxmlformats.org/officeDocument/2006/relationships/hyperlink" Target="https://web.archive.org/web/20220122002743/https:/exonerationpro.wpengine.com/resources/eyewitness-misidentification/" TargetMode="External"/><Relationship Id="rId11" Type="http://schemas.openxmlformats.org/officeDocument/2006/relationships/hyperlink" Target="https://web.archive.org/web/20220122002743/https:/www.dropbox.com/s/62937ci8gfphp6h/Amended%20PC%20petition.pdf?dl=0" TargetMode="External"/><Relationship Id="rId5" Type="http://schemas.openxmlformats.org/officeDocument/2006/relationships/hyperlink" Target="https://web.archive.org/web/20220122002743/https:/www.dropbox.com/s/gyd5bap10904uwb/Appeal%20Opening%20Brief.pdf?dl=0" TargetMode="External"/><Relationship Id="rId15" Type="http://schemas.openxmlformats.org/officeDocument/2006/relationships/hyperlink" Target="https://web.archive.org/web/20220122002743/https:/www.dropbox.com/s/gfcaudfq996apnv/2009%20Order%3A%20Post%20Conviction%20Appeal.pdf?dl=0" TargetMode="External"/><Relationship Id="rId23" Type="http://schemas.openxmlformats.org/officeDocument/2006/relationships/theme" Target="theme/theme1.xml"/><Relationship Id="rId10" Type="http://schemas.openxmlformats.org/officeDocument/2006/relationships/hyperlink" Target="https://web.archive.org/web/20220122002743/https:/www.dropbox.com/s/62937ci8gfphp6h/Amended%20PC%20petition.pdf?dl=0" TargetMode="External"/><Relationship Id="rId19" Type="http://schemas.openxmlformats.org/officeDocument/2006/relationships/hyperlink" Target="https://web.archive.org/web/20220122002743/https:/www.chicagotribune.com/suburbs/lake-county-news-sun/opinion/ct-lns-rutter-st-0204-20150203-column.html" TargetMode="External"/><Relationship Id="rId4" Type="http://schemas.openxmlformats.org/officeDocument/2006/relationships/webSettings" Target="webSettings.xml"/><Relationship Id="rId9" Type="http://schemas.openxmlformats.org/officeDocument/2006/relationships/hyperlink" Target="https://web.archive.org/web/20220122002743/https:/www.dropbox.com/s/62937ci8gfphp6h/Amended%20PC%20petition.pdf?dl=0" TargetMode="External"/><Relationship Id="rId14" Type="http://schemas.openxmlformats.org/officeDocument/2006/relationships/hyperlink" Target="https://web.archive.org/web/20220122002743/https:/www.dropbox.com/s/gyd5bap10904uwb/Appeal%20Opening%20Brief.pdf?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Loevy</dc:creator>
  <cp:keywords/>
  <dc:description/>
  <cp:lastModifiedBy>Deb Loevy</cp:lastModifiedBy>
  <cp:revision>1</cp:revision>
  <dcterms:created xsi:type="dcterms:W3CDTF">2022-10-04T17:46:00Z</dcterms:created>
  <dcterms:modified xsi:type="dcterms:W3CDTF">2022-10-04T17:47:00Z</dcterms:modified>
</cp:coreProperties>
</file>